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39.png" ContentType="image/png"/>
  <Override PartName="/word/media/rId27.png" ContentType="image/png"/>
  <Override PartName="/word/media/rId4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BCI,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(BCI and HKK) or late spring/ early summer in the extratropics (n= 5 of 8).</w:t>
      </w:r>
      <w:r>
        <w:t xml:space="preserve"> </w:t>
      </w:r>
      <w:r>
        <w:t xml:space="preserve">In the tropics, the long time windows over which precipitation was influential (12 mo at BCI, 9 mo at HKK) also included the majority (BCI)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(BCI), late winter/early spring (HF, ZOF), the previous growing season (NIO), or a 13-month window extending from past to current growing season (CB).</w:t>
      </w:r>
      <w:r>
        <w:t xml:space="preserve"> </w:t>
      </w:r>
      <w:r>
        <w:t xml:space="preserve">Within the tropics, there was minimal effect of temperature at BCI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growing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BCI;</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CC; Table S2).</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1"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BCI;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BCI (Fig. S9) and LT (Fig. 5).</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With</w:t>
      </w:r>
      <w:r>
        <w:t xml:space="preserve"> </w:t>
      </w:r>
      <m:oMath>
        <m:r>
          <m:t>B</m:t>
        </m:r>
        <m:r>
          <m:t>A</m:t>
        </m:r>
        <m:r>
          <m:t>I</m:t>
        </m:r>
      </m:oMath>
      <w:r>
        <w:t xml:space="preserve"> </w:t>
      </w:r>
      <w:r>
        <w:t xml:space="preserve">as the growth metric, interactions were significant for 47% of</w:t>
      </w:r>
      <w:r>
        <w:t xml:space="preserve"> </w:t>
      </w:r>
      <m:oMath>
        <m:r>
          <m:t>D</m:t>
        </m:r>
        <m:r>
          <m:t>B</m:t>
        </m:r>
        <m:r>
          <m:t>H</m:t>
        </m:r>
      </m:oMath>
      <w:r>
        <w:t xml:space="preserve">-precipitation variable interactions for all three growth metrics (Table S6).</w:t>
      </w:r>
      <w:r>
        <w:t xml:space="preserve"> </w:t>
      </w:r>
      <w:r>
        <w:t xml:space="preserve">The majority (67%) of these interactions were positive, indicating that larger trees generally respond more positively (or less negatively) to precipitation or its frequency (Fig. 6).</w:t>
      </w:r>
      <w:r>
        <w:t xml:space="preserve"> </w:t>
      </w:r>
      <w:r>
        <w:t xml:space="preserve">Among the 6 exceptions, only 3 occurred in species responding positively to precipitation in the current growing season.</w:t>
      </w:r>
    </w:p>
    <w:p>
      <w:pPr>
        <w:pStyle w:val="BodyText"/>
      </w:pPr>
      <w:r>
        <w:t xml:space="preserve">Temperature variables and</w:t>
      </w:r>
      <w:r>
        <w:t xml:space="preserve"> </w:t>
      </w:r>
      <m:oMath>
        <m:r>
          <m:t>D</m:t>
        </m:r>
        <m:r>
          <m:t>B</m:t>
        </m:r>
        <m:r>
          <m:t>H</m:t>
        </m:r>
      </m:oMath>
      <w:r>
        <w:t xml:space="preserve"> </w:t>
      </w:r>
      <w:r>
        <w:t xml:space="preserve">had significant interactive effects on</w:t>
      </w:r>
      <w:r>
        <w:t xml:space="preserve"> </w:t>
      </w:r>
      <m:oMath>
        <m:r>
          <m:t>B</m:t>
        </m:r>
        <m:r>
          <m:t>A</m:t>
        </m:r>
        <m:r>
          <m:t>I</m:t>
        </m:r>
      </m:oMath>
      <w:r>
        <w:t xml:space="preserve"> </w:t>
      </w:r>
      <w:r>
        <w:t xml:space="preserve">for 29% of cases considered (Table S6).</w:t>
      </w:r>
      <w:r>
        <w:t xml:space="preserve"> </w:t>
      </w:r>
      <w:r>
        <w:t xml:space="preserve">Directions of these interactions were mixed, with 6 of 10 significant interactions negative (</w:t>
      </w:r>
      <w:r>
        <w:rPr>
          <w:i/>
        </w:rPr>
        <w:t xml:space="preserve">i.e.</w:t>
      </w:r>
      <w:r>
        <w:t xml:space="preserve">, more negative/ less positive response of larger trees to higher temperatures).</w:t>
      </w:r>
      <w:r>
        <w:t xml:space="preserve"> </w:t>
      </w:r>
      <w:r>
        <w:t xml:space="preserve">Five of these six significant negative interactions occurred in water-limited forests (2 in HKK, 1 in LT, 2 in CB; Fig. 3).</w:t>
      </w:r>
    </w:p>
    <w:p>
      <w:pPr>
        <w:pStyle w:val="BodyText"/>
      </w:pPr>
      <w:r>
        <w:rPr>
          <w:i/>
        </w:rPr>
        <w:t xml:space="preserve">(Results up to this point updated Dec2020. Content below this point is old.)</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0">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2"/>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3"/>
    <w:bookmarkEnd w:id="44"/>
    <w:bookmarkStart w:id="51"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5"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5"/>
    <w:bookmarkStart w:id="48"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74" w:name="References"/>
    <w:p>
      <w:pPr>
        <w:pStyle w:val="Heading1"/>
      </w:pPr>
      <w:r>
        <w:t xml:space="preserve">References</w:t>
      </w:r>
    </w:p>
    <w:bookmarkStart w:id="173"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1">
        <w:r>
          <w:rPr>
            <w:rStyle w:val="Hyperlink"/>
          </w:rPr>
          <w:t xml:space="preserve">https://doi.org/10.1007/s00442-017-3879-3</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9">
        <w:r>
          <w:rPr>
            <w:rStyle w:val="Hyperlink"/>
          </w:rPr>
          <w:t xml:space="preserve">https://doi.org/10.1674/0003-0031-180.1.18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2">
        <w:r>
          <w:rPr>
            <w:rStyle w:val="Hyperlink"/>
          </w:rPr>
          <w:t xml:space="preserve">https://doi.org/10.1111/ele.12650</w:t>
        </w:r>
      </w:hyperlink>
    </w:p>
    <w:bookmarkEnd w:id="83"/>
    <w:bookmarkStart w:id="8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4">
        <w:r>
          <w:rPr>
            <w:rStyle w:val="Hyperlink"/>
          </w:rPr>
          <w:t xml:space="preserve">https://doi.org/10.1016/S0378-1127(98)00242-4</w:t>
        </w:r>
      </w:hyperlink>
    </w:p>
    <w:bookmarkEnd w:id="85"/>
    <w:bookmarkStart w:id="8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6">
        <w:r>
          <w:rPr>
            <w:rStyle w:val="Hyperlink"/>
          </w:rPr>
          <w:t xml:space="preserve">https://doi.org/10.1007/BF00282374</w:t>
        </w:r>
      </w:hyperlink>
    </w:p>
    <w:bookmarkEnd w:id="87"/>
    <w:bookmarkStart w:id="8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8">
        <w:r>
          <w:rPr>
            <w:rStyle w:val="Hyperlink"/>
          </w:rPr>
          <w:t xml:space="preserve">https://doi.org/10.1177/095968369700700314</w:t>
        </w:r>
      </w:hyperlink>
    </w:p>
    <w:bookmarkEnd w:id="89"/>
    <w:bookmarkStart w:id="9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0">
        <w:r>
          <w:rPr>
            <w:rStyle w:val="Hyperlink"/>
          </w:rPr>
          <w:t xml:space="preserve">https://doi.org/10.1038/s41467-020-14300-5</w:t>
        </w:r>
      </w:hyperlink>
    </w:p>
    <w:bookmarkEnd w:id="91"/>
    <w:bookmarkStart w:id="9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2">
        <w:r>
          <w:rPr>
            <w:rStyle w:val="Hyperlink"/>
          </w:rPr>
          <w:t xml:space="preserve">https://doi.org/10.1007/s10584-009-9594-2</w:t>
        </w:r>
      </w:hyperlink>
    </w:p>
    <w:bookmarkEnd w:id="93"/>
    <w:bookmarkStart w:id="9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4">
        <w:r>
          <w:rPr>
            <w:rStyle w:val="Hyperlink"/>
          </w:rPr>
          <w:t xml:space="preserve">https://doi.org/10.1002/ecm.1423</w:t>
        </w:r>
      </w:hyperlink>
    </w:p>
    <w:bookmarkEnd w:id="95"/>
    <w:bookmarkStart w:id="9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6">
        <w:r>
          <w:rPr>
            <w:rStyle w:val="Hyperlink"/>
          </w:rPr>
          <w:t xml:space="preserve">https://doi.org/10.1016/j.foreco.2020.118717</w:t>
        </w:r>
      </w:hyperlink>
    </w:p>
    <w:bookmarkEnd w:id="97"/>
    <w:bookmarkStart w:id="9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8">
        <w:r>
          <w:rPr>
            <w:rStyle w:val="Hyperlink"/>
          </w:rPr>
          <w:t xml:space="preserve">https://doi.org/10.1111/gcb.13208</w:t>
        </w:r>
      </w:hyperlink>
    </w:p>
    <w:bookmarkEnd w:id="99"/>
    <w:bookmarkStart w:id="10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0">
        <w:r>
          <w:rPr>
            <w:rStyle w:val="Hyperlink"/>
          </w:rPr>
          <w:t xml:space="preserve">https://doi.org/10.1175/JCLI3800.1</w:t>
        </w:r>
      </w:hyperlink>
    </w:p>
    <w:bookmarkEnd w:id="101"/>
    <w:bookmarkStart w:id="102" w:name="ref-fritts_tree_1976"/>
    <w:p>
      <w:pPr>
        <w:pStyle w:val="Bibliography"/>
      </w:pPr>
      <w:r>
        <w:t xml:space="preserve">Fritts, H. C. (1976).</w:t>
      </w:r>
      <w:r>
        <w:t xml:space="preserve"> </w:t>
      </w:r>
      <w:r>
        <w:rPr>
          <w:i/>
        </w:rPr>
        <w:t xml:space="preserve">Tree rings and climate</w:t>
      </w:r>
      <w:r>
        <w:t xml:space="preserve">. Academic Press.</w:t>
      </w:r>
    </w:p>
    <w:bookmarkEnd w:id="102"/>
    <w:bookmarkStart w:id="10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3">
        <w:r>
          <w:rPr>
            <w:rStyle w:val="Hyperlink"/>
          </w:rPr>
          <w:t xml:space="preserve">https://doi.org/10.1007/s10021-020-00501-y</w:t>
        </w:r>
      </w:hyperlink>
    </w:p>
    <w:bookmarkEnd w:id="104"/>
    <w:bookmarkStart w:id="10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5">
        <w:r>
          <w:rPr>
            <w:rStyle w:val="Hyperlink"/>
          </w:rPr>
          <w:t xml:space="preserve">https://doi.org/10.5281/ZENODO.4070038</w:t>
        </w:r>
      </w:hyperlink>
    </w:p>
    <w:bookmarkEnd w:id="106"/>
    <w:bookmarkStart w:id="10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7">
        <w:r>
          <w:rPr>
            <w:rStyle w:val="Hyperlink"/>
          </w:rPr>
          <w:t xml:space="preserve">https://doi.org/10.2307/1937545</w:t>
        </w:r>
      </w:hyperlink>
    </w:p>
    <w:bookmarkEnd w:id="108"/>
    <w:bookmarkStart w:id="11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9">
        <w:r>
          <w:rPr>
            <w:rStyle w:val="Hyperlink"/>
          </w:rPr>
          <w:t xml:space="preserve">https://doi.org/10.1007/s10342-016-0982-7</w:t>
        </w:r>
      </w:hyperlink>
    </w:p>
    <w:bookmarkEnd w:id="110"/>
    <w:bookmarkStart w:id="11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1">
        <w:r>
          <w:rPr>
            <w:rStyle w:val="Hyperlink"/>
          </w:rPr>
          <w:t xml:space="preserve">https://doi.org/10.1002/joc.3711</w:t>
        </w:r>
      </w:hyperlink>
    </w:p>
    <w:bookmarkEnd w:id="112"/>
    <w:bookmarkStart w:id="11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3">
        <w:r>
          <w:rPr>
            <w:rStyle w:val="Hyperlink"/>
          </w:rPr>
          <w:t xml:space="preserve">https://doi.org/10.1038/s41597-020-0453-3</w:t>
        </w:r>
      </w:hyperlink>
    </w:p>
    <w:bookmarkEnd w:id="114"/>
    <w:bookmarkStart w:id="11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5">
        <w:r>
          <w:rPr>
            <w:rStyle w:val="Hyperlink"/>
          </w:rPr>
          <w:t xml:space="preserve">https://doi.org/10.1111/nph.15906</w:t>
        </w:r>
      </w:hyperlink>
    </w:p>
    <w:bookmarkEnd w:id="116"/>
    <w:bookmarkStart w:id="117"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7"/>
    <w:bookmarkStart w:id="11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8">
        <w:r>
          <w:rPr>
            <w:rStyle w:val="Hyperlink"/>
          </w:rPr>
          <w:t xml:space="preserve">https://doi.org/10.1038/s41467-018-07800-y</w:t>
        </w:r>
      </w:hyperlink>
    </w:p>
    <w:bookmarkEnd w:id="119"/>
    <w:bookmarkStart w:id="12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0">
        <w:r>
          <w:rPr>
            <w:rStyle w:val="Hyperlink"/>
          </w:rPr>
          <w:t xml:space="preserve">https://doi.org/10.1111/nph.15668</w:t>
        </w:r>
      </w:hyperlink>
    </w:p>
    <w:bookmarkEnd w:id="121"/>
    <w:bookmarkStart w:id="12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2">
        <w:r>
          <w:rPr>
            <w:rStyle w:val="Hyperlink"/>
          </w:rPr>
          <w:t xml:space="preserve">https://doi.org/10.1111/gcb.14273</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4">
        <w:r>
          <w:rPr>
            <w:rStyle w:val="Hyperlink"/>
          </w:rPr>
          <w:t xml:space="preserve">https://doi.org/10.1007/s10584-016-1720-3</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6">
        <w:r>
          <w:rPr>
            <w:rStyle w:val="Hyperlink"/>
          </w:rPr>
          <w:t xml:space="preserve">https://doi.org/10.1126/science.aaz9463</w:t>
        </w:r>
      </w:hyperlink>
    </w:p>
    <w:bookmarkEnd w:id="127"/>
    <w:bookmarkStart w:id="12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8">
        <w:r>
          <w:rPr>
            <w:rStyle w:val="Hyperlink"/>
          </w:rPr>
          <w:t xml:space="preserve">https://doi.org/10.1111/nph.16996</w:t>
        </w:r>
      </w:hyperlink>
    </w:p>
    <w:bookmarkEnd w:id="129"/>
    <w:bookmarkStart w:id="13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0">
        <w:r>
          <w:rPr>
            <w:rStyle w:val="Hyperlink"/>
          </w:rPr>
          <w:t xml:space="preserve">https://doi.org/10.1016/j.cageo.2011.01.013</w:t>
        </w:r>
      </w:hyperlink>
    </w:p>
    <w:bookmarkEnd w:id="131"/>
    <w:bookmarkStart w:id="13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2"/>
    <w:bookmarkStart w:id="13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3">
        <w:r>
          <w:rPr>
            <w:rStyle w:val="Hyperlink"/>
          </w:rPr>
          <w:t xml:space="preserve">https://doi.org/10.1111/gcb.12599</w:t>
        </w:r>
      </w:hyperlink>
    </w:p>
    <w:bookmarkEnd w:id="134"/>
    <w:bookmarkStart w:id="13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5">
        <w:r>
          <w:rPr>
            <w:rStyle w:val="Hyperlink"/>
          </w:rPr>
          <w:t xml:space="preserve">https://doi.org/10.1111/j.1365-2486.2010.02222.x</w:t>
        </w:r>
      </w:hyperlink>
    </w:p>
    <w:bookmarkEnd w:id="136"/>
    <w:bookmarkStart w:id="13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7">
        <w:r>
          <w:rPr>
            <w:rStyle w:val="Hyperlink"/>
          </w:rPr>
          <w:t xml:space="preserve">https://doi.org/10.1111/gcb.12826</w:t>
        </w:r>
      </w:hyperlink>
    </w:p>
    <w:bookmarkEnd w:id="138"/>
    <w:bookmarkStart w:id="14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9">
        <w:r>
          <w:rPr>
            <w:rStyle w:val="Hyperlink"/>
          </w:rPr>
          <w:t xml:space="preserve">https://doi.org/10.1016/j.dendro.2020.125678</w:t>
        </w:r>
      </w:hyperlink>
    </w:p>
    <w:bookmarkEnd w:id="140"/>
    <w:bookmarkStart w:id="14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1">
        <w:r>
          <w:rPr>
            <w:rStyle w:val="Hyperlink"/>
          </w:rPr>
          <w:t xml:space="preserve">https://doi.org/10.1111/2041-210X.12753</w:t>
        </w:r>
      </w:hyperlink>
    </w:p>
    <w:bookmarkEnd w:id="142"/>
    <w:bookmarkStart w:id="14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3">
        <w:r>
          <w:rPr>
            <w:rStyle w:val="Hyperlink"/>
          </w:rPr>
          <w:t xml:space="preserve">https://doi.org/10.1002/2016JG003528</w:t>
        </w:r>
      </w:hyperlink>
    </w:p>
    <w:bookmarkEnd w:id="144"/>
    <w:bookmarkStart w:id="1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5">
        <w:r>
          <w:rPr>
            <w:rStyle w:val="Hyperlink"/>
          </w:rPr>
          <w:t xml:space="preserve">https://doi.org/10.1038/nature12914</w:t>
        </w:r>
      </w:hyperlink>
    </w:p>
    <w:bookmarkEnd w:id="146"/>
    <w:bookmarkStart w:id="14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7">
        <w:r>
          <w:rPr>
            <w:rStyle w:val="Hyperlink"/>
          </w:rPr>
          <w:t xml:space="preserve">https://doi.org/10.1126/science.aaw7578</w:t>
        </w:r>
      </w:hyperlink>
    </w:p>
    <w:bookmarkEnd w:id="148"/>
    <w:bookmarkStart w:id="15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9">
        <w:r>
          <w:rPr>
            <w:rStyle w:val="Hyperlink"/>
          </w:rPr>
          <w:t xml:space="preserve">https://doi.org/10.1111/jvs.12025</w:t>
        </w:r>
      </w:hyperlink>
    </w:p>
    <w:bookmarkEnd w:id="150"/>
    <w:bookmarkStart w:id="15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1">
        <w:r>
          <w:rPr>
            <w:rStyle w:val="Hyperlink"/>
          </w:rPr>
          <w:t xml:space="preserve">https://doi.org/10.1016/j.agrformet.2017.08.007</w:t>
        </w:r>
      </w:hyperlink>
    </w:p>
    <w:bookmarkEnd w:id="152"/>
    <w:bookmarkStart w:id="15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3">
        <w:r>
          <w:rPr>
            <w:rStyle w:val="Hyperlink"/>
          </w:rPr>
          <w:t xml:space="preserve">https://doi.org/10.1111/gcb.14120</w:t>
        </w:r>
      </w:hyperlink>
    </w:p>
    <w:bookmarkEnd w:id="154"/>
    <w:bookmarkStart w:id="1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5">
        <w:r>
          <w:rPr>
            <w:rStyle w:val="Hyperlink"/>
          </w:rPr>
          <w:t xml:space="preserve">https://doi.org/10.5194/cp-9-1481-2013</w:t>
        </w:r>
      </w:hyperlink>
    </w:p>
    <w:bookmarkEnd w:id="156"/>
    <w:bookmarkStart w:id="15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7">
        <w:r>
          <w:rPr>
            <w:rStyle w:val="Hyperlink"/>
          </w:rPr>
          <w:t xml:space="preserve">https://doi.org/10.1016/j.agrformet.2017.07.015</w:t>
        </w:r>
      </w:hyperlink>
    </w:p>
    <w:bookmarkEnd w:id="158"/>
    <w:bookmarkStart w:id="16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9">
        <w:r>
          <w:rPr>
            <w:rStyle w:val="Hyperlink"/>
          </w:rPr>
          <w:t xml:space="preserve">https://doi.org/10.1111/2041-210X.12590</w:t>
        </w:r>
      </w:hyperlink>
    </w:p>
    <w:bookmarkEnd w:id="160"/>
    <w:bookmarkStart w:id="16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1">
        <w:r>
          <w:rPr>
            <w:rStyle w:val="Hyperlink"/>
          </w:rPr>
          <w:t xml:space="preserve">https://doi.org/10.1007/s00442-013-2846-x</w:t>
        </w:r>
      </w:hyperlink>
    </w:p>
    <w:bookmarkEnd w:id="162"/>
    <w:bookmarkStart w:id="16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3">
        <w:r>
          <w:rPr>
            <w:rStyle w:val="Hyperlink"/>
          </w:rPr>
          <w:t xml:space="preserve">https://doi.org/10.1111/nph.16866</w:t>
        </w:r>
      </w:hyperlink>
    </w:p>
    <w:bookmarkEnd w:id="164"/>
    <w:bookmarkStart w:id="166"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5">
        <w:r>
          <w:rPr>
            <w:rStyle w:val="Hyperlink"/>
          </w:rPr>
          <w:t xml:space="preserve">https://doi.org/10.1038/nclimate1693</w:t>
        </w:r>
      </w:hyperlink>
    </w:p>
    <w:bookmarkEnd w:id="166"/>
    <w:bookmarkStart w:id="16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7">
        <w:r>
          <w:rPr>
            <w:rStyle w:val="Hyperlink"/>
          </w:rPr>
          <w:t xml:space="preserve">https://doi.org/10.1111/gcb.15057</w:t>
        </w:r>
      </w:hyperlink>
    </w:p>
    <w:bookmarkEnd w:id="168"/>
    <w:bookmarkStart w:id="17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9">
        <w:r>
          <w:rPr>
            <w:rStyle w:val="Hyperlink"/>
          </w:rPr>
          <w:t xml:space="preserve">https://doi.org/10.1191/095968399667128516</w:t>
        </w:r>
      </w:hyperlink>
    </w:p>
    <w:bookmarkEnd w:id="170"/>
    <w:bookmarkStart w:id="1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1">
        <w:r>
          <w:rPr>
            <w:rStyle w:val="Hyperlink"/>
          </w:rPr>
          <w:t xml:space="preserve">https://doi.org/10.1111/ecog.01335</w:t>
        </w:r>
      </w:hyperlink>
    </w:p>
    <w:bookmarkEnd w:id="172"/>
    <w:bookmarkEnd w:id="173"/>
    <w:bookmarkEnd w:id="1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2020-12-24T14:16:10Z</dcterms:created>
  <dcterms:modified xsi:type="dcterms:W3CDTF">2020-12-24T14:16:10Z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